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6632D3" w:rsidRDefault="00A4671C" w14:paraId="108E1D53" wp14:textId="77777777">
      <w:pPr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b/>
          <w:color w:val="000000"/>
        </w:rPr>
      </w:pPr>
      <w:r>
        <w:rPr>
          <w:rFonts w:ascii="Times New Roman" w:hAnsi="Times New Roman" w:eastAsia="Times New Roman" w:cs="Times New Roman"/>
          <w:noProof/>
          <w:color w:val="000000"/>
        </w:rPr>
        <w:drawing>
          <wp:anchor xmlns:wp14="http://schemas.microsoft.com/office/word/2010/wordprocessingDrawing" distT="0" distB="0" distL="114300" distR="114300" simplePos="0" relativeHeight="251658240" behindDoc="0" locked="0" layoutInCell="1" hidden="0" allowOverlap="1" wp14:anchorId="75E53B1A" wp14:editId="7777777">
            <wp:simplePos x="0" y="0"/>
            <wp:positionH relativeFrom="margin">
              <wp:posOffset>4530090</wp:posOffset>
            </wp:positionH>
            <wp:positionV relativeFrom="margin">
              <wp:posOffset>-81914</wp:posOffset>
            </wp:positionV>
            <wp:extent cx="1208405" cy="46863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468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610215B" w:rsidR="00A4671C">
        <w:rPr>
          <w:b w:val="1"/>
          <w:bCs w:val="1"/>
          <w:color w:val="000000"/>
        </w:rPr>
        <w:t>TISKOVÁ ZPRÁVA</w:t>
      </w:r>
    </w:p>
    <w:p xmlns:wp14="http://schemas.microsoft.com/office/word/2010/wordml" w:rsidR="006632D3" w:rsidRDefault="006632D3" w14:paraId="672A6659" wp14:textId="77777777">
      <w:pPr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b/>
          <w:color w:val="000000"/>
        </w:rPr>
      </w:pPr>
    </w:p>
    <w:p xmlns:wp14="http://schemas.microsoft.com/office/word/2010/wordml" w:rsidR="006632D3" w:rsidP="0610215B" w:rsidRDefault="00A4671C" w14:paraId="40163DDC" wp14:textId="4C2330F9">
      <w:pPr>
        <w:keepNext/>
        <w:pBdr>
          <w:top w:val="nil"/>
          <w:left w:val="nil"/>
          <w:bottom w:val="single" w:color="000000" w:sz="4" w:space="1"/>
          <w:right w:val="nil"/>
          <w:between w:val="nil"/>
        </w:pBdr>
        <w:jc w:val="both"/>
        <w:rPr>
          <w:b w:val="1"/>
          <w:bCs w:val="1"/>
          <w:color w:val="000000"/>
        </w:rPr>
      </w:pPr>
      <w:r w:rsidRPr="0610215B" w:rsidR="6CBD07B4">
        <w:rPr>
          <w:b w:val="1"/>
          <w:bCs w:val="1"/>
          <w:color w:val="000000" w:themeColor="text1" w:themeTint="FF" w:themeShade="FF"/>
        </w:rPr>
        <w:t>29</w:t>
      </w:r>
      <w:r w:rsidRPr="0610215B" w:rsidR="00A4671C">
        <w:rPr>
          <w:b w:val="1"/>
          <w:bCs w:val="1"/>
          <w:color w:val="000000" w:themeColor="text1" w:themeTint="FF" w:themeShade="FF"/>
        </w:rPr>
        <w:t>. dubna 2020</w:t>
      </w:r>
    </w:p>
    <w:p xmlns:wp14="http://schemas.microsoft.com/office/word/2010/wordml" w:rsidR="006632D3" w:rsidRDefault="006632D3" w14:paraId="0A37501D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0"/>
          <w:szCs w:val="20"/>
        </w:rPr>
      </w:pPr>
    </w:p>
    <w:p xmlns:wp14="http://schemas.microsoft.com/office/word/2010/wordml" w:rsidR="006632D3" w:rsidP="45210CB4" w:rsidRDefault="00A4671C" w14:paraId="7714648E" wp14:textId="3B4A459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 w:val="1"/>
          <w:bCs w:val="1"/>
          <w:color w:val="000000"/>
          <w:sz w:val="28"/>
          <w:szCs w:val="28"/>
        </w:rPr>
      </w:pPr>
      <w:bookmarkStart w:name="_gjdgxs" w:colFirst="0" w:colLast="0" w:id="0"/>
      <w:bookmarkEnd w:id="0"/>
      <w:r w:rsidRPr="45210CB4" w:rsidR="00A4671C">
        <w:rPr>
          <w:b w:val="1"/>
          <w:bCs w:val="1"/>
          <w:color w:val="000000" w:themeColor="text1" w:themeTint="FF" w:themeShade="FF"/>
          <w:sz w:val="28"/>
          <w:szCs w:val="28"/>
        </w:rPr>
        <w:t>LEKVI uzavřel</w:t>
      </w:r>
      <w:r w:rsidRPr="45210CB4" w:rsidR="6D33E5CE">
        <w:rPr>
          <w:b w:val="1"/>
          <w:bCs w:val="1"/>
          <w:color w:val="000000" w:themeColor="text1" w:themeTint="FF" w:themeShade="FF"/>
          <w:sz w:val="28"/>
          <w:szCs w:val="28"/>
        </w:rPr>
        <w:t>a</w:t>
      </w:r>
      <w:r w:rsidRPr="45210CB4" w:rsidR="00A4671C">
        <w:rPr>
          <w:b w:val="1"/>
          <w:bCs w:val="1"/>
          <w:color w:val="000000" w:themeColor="text1" w:themeTint="FF" w:themeShade="FF"/>
          <w:sz w:val="28"/>
          <w:szCs w:val="28"/>
        </w:rPr>
        <w:t xml:space="preserve"> partnerství s technologickými společnostmi Flat </w:t>
      </w:r>
      <w:proofErr w:type="spellStart"/>
      <w:r w:rsidRPr="45210CB4" w:rsidR="00A4671C">
        <w:rPr>
          <w:b w:val="1"/>
          <w:bCs w:val="1"/>
          <w:color w:val="000000" w:themeColor="text1" w:themeTint="FF" w:themeShade="FF"/>
          <w:sz w:val="28"/>
          <w:szCs w:val="28"/>
        </w:rPr>
        <w:t>Zone</w:t>
      </w:r>
      <w:proofErr w:type="spellEnd"/>
      <w:r w:rsidRPr="45210CB4" w:rsidR="00A4671C">
        <w:rPr>
          <w:b w:val="1"/>
          <w:bCs w:val="1"/>
          <w:color w:val="000000" w:themeColor="text1" w:themeTint="FF" w:themeShade="FF"/>
          <w:sz w:val="28"/>
          <w:szCs w:val="28"/>
        </w:rPr>
        <w:t xml:space="preserve"> a </w:t>
      </w:r>
      <w:proofErr w:type="spellStart"/>
      <w:r w:rsidRPr="45210CB4" w:rsidR="00A4671C">
        <w:rPr>
          <w:b w:val="1"/>
          <w:bCs w:val="1"/>
          <w:color w:val="000000" w:themeColor="text1" w:themeTint="FF" w:themeShade="FF"/>
          <w:sz w:val="28"/>
          <w:szCs w:val="28"/>
        </w:rPr>
        <w:t>Realpad</w:t>
      </w:r>
      <w:proofErr w:type="spellEnd"/>
    </w:p>
    <w:p xmlns:wp14="http://schemas.microsoft.com/office/word/2010/wordml" w:rsidR="006632D3" w:rsidRDefault="006632D3" w14:paraId="5DAB6C7B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8"/>
          <w:szCs w:val="28"/>
        </w:rPr>
      </w:pPr>
    </w:p>
    <w:p xmlns:wp14="http://schemas.microsoft.com/office/word/2010/wordml" w:rsidR="006632D3" w:rsidRDefault="00A4671C" w14:paraId="591BBB21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Realitní společnost Lekvi Group zahajuje spolupráci se dvěma novými partnery z oblasti technologické podpory prodeje nemovitostí, zejména bytů v nových developerských projektech. </w:t>
      </w:r>
      <w:hyperlink r:id="rId5">
        <w:r>
          <w:rPr>
            <w:b/>
            <w:color w:val="0000FF"/>
            <w:sz w:val="22"/>
            <w:szCs w:val="22"/>
            <w:u w:val="single"/>
          </w:rPr>
          <w:t>Flat Zone</w:t>
        </w:r>
      </w:hyperlink>
      <w:r>
        <w:rPr>
          <w:b/>
          <w:color w:val="000000"/>
          <w:sz w:val="22"/>
          <w:szCs w:val="22"/>
        </w:rPr>
        <w:t xml:space="preserve"> poskytuje sofistikované aktuální analýzy mapující </w:t>
      </w:r>
      <w:r>
        <w:rPr>
          <w:b/>
          <w:color w:val="2E3138"/>
          <w:sz w:val="22"/>
          <w:szCs w:val="22"/>
          <w:highlight w:val="white"/>
        </w:rPr>
        <w:t>určitou lokalitu nebo oblast z pohledu realitního trhu v daném časovém okamžiku nebo období.</w:t>
      </w:r>
      <w:r>
        <w:rPr>
          <w:b/>
          <w:color w:val="000000"/>
          <w:sz w:val="22"/>
          <w:szCs w:val="22"/>
        </w:rPr>
        <w:t xml:space="preserve"> </w:t>
      </w:r>
      <w:hyperlink r:id="rId6">
        <w:r>
          <w:rPr>
            <w:b/>
            <w:color w:val="0000FF"/>
            <w:sz w:val="22"/>
            <w:szCs w:val="22"/>
            <w:u w:val="single"/>
          </w:rPr>
          <w:t>Realpad</w:t>
        </w:r>
      </w:hyperlink>
      <w:r>
        <w:rPr>
          <w:b/>
          <w:color w:val="000000"/>
          <w:sz w:val="22"/>
          <w:szCs w:val="22"/>
        </w:rPr>
        <w:t xml:space="preserve"> je komplexním softwarovým nástrojem pro řízení prodejů bytů pro realitní </w:t>
      </w:r>
      <w:r>
        <w:rPr>
          <w:b/>
          <w:color w:val="000000"/>
          <w:sz w:val="22"/>
          <w:szCs w:val="22"/>
        </w:rPr>
        <w:t>developery.</w:t>
      </w:r>
    </w:p>
    <w:p xmlns:wp14="http://schemas.microsoft.com/office/word/2010/wordml" w:rsidR="006632D3" w:rsidRDefault="006632D3" w14:paraId="02EB378F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xmlns:wp14="http://schemas.microsoft.com/office/word/2010/wordml" w:rsidR="006632D3" w:rsidRDefault="00A4671C" w14:paraId="4470B64B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name="_30j0zll" w:colFirst="0" w:colLast="0" w:id="1"/>
      <w:bookmarkEnd w:id="1"/>
      <w:r>
        <w:rPr>
          <w:color w:val="000000"/>
          <w:sz w:val="22"/>
          <w:szCs w:val="22"/>
        </w:rPr>
        <w:t xml:space="preserve">V době, kdy se na nemovitostním trhu logicky očekávají změny či turbulence, jsou ta nejpřesnější analytická data a nejnovější softwarové nástroje klíčem k udržení prodejů bytů na optimální možné hladině. Díky novým technologickým </w:t>
      </w:r>
      <w:r>
        <w:rPr>
          <w:sz w:val="22"/>
          <w:szCs w:val="22"/>
        </w:rPr>
        <w:t>partnerům</w:t>
      </w:r>
      <w:r>
        <w:rPr>
          <w:color w:val="000000"/>
          <w:sz w:val="22"/>
          <w:szCs w:val="22"/>
        </w:rPr>
        <w:t xml:space="preserve"> můž</w:t>
      </w:r>
      <w:r>
        <w:rPr>
          <w:color w:val="000000"/>
          <w:sz w:val="22"/>
          <w:szCs w:val="22"/>
        </w:rPr>
        <w:t xml:space="preserve">e společnost Lekvi od této chvíle nabízet svým klientům z řad rezidenčních developerů naprosto špičkový servis. </w:t>
      </w:r>
    </w:p>
    <w:p xmlns:wp14="http://schemas.microsoft.com/office/word/2010/wordml" w:rsidR="006632D3" w:rsidRDefault="006632D3" w14:paraId="6A05A809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xmlns:wp14="http://schemas.microsoft.com/office/word/2010/wordml" w:rsidR="006632D3" w:rsidRDefault="00A4671C" w14:paraId="1ED479A1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Technologiemi proti poklesu prodejů</w:t>
      </w:r>
    </w:p>
    <w:p xmlns:wp14="http://schemas.microsoft.com/office/word/2010/wordml" w:rsidR="006632D3" w:rsidRDefault="00A4671C" w14:paraId="59F1AAB6" wp14:textId="59D8315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 xml:space="preserve">„Další vývoj na trhu s byty vzhledem k pandemii </w:t>
      </w:r>
      <w:proofErr w:type="spellStart"/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>koronaviru</w:t>
      </w:r>
      <w:proofErr w:type="spellEnd"/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 xml:space="preserve"> je obecně těžké předvídat. I když prozatím nepř</w:t>
      </w: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>edpokládáme, že by docházelo ke snižování cen nových bytů v Praze. Jde o to, že na trhu je jich stále velký deficit a na tom se nic v nejbližší době nezmění. Takže i když o několik procent klesne poptávka, nabídka bude stále nedostatečná. Developeři se vša</w:t>
      </w: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 xml:space="preserve">k ocitnou pod tlakem času. V současnosti už nyní nastává prodleva v prodejích z jasných organizačních či technických důvodů. Všechny harmonogramy prodejů naberou spíše větší zpoždění. A tomuto se dá čelit jedině maximální efektivitou procesu </w:t>
      </w: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>prodeje</w:t>
      </w:r>
      <w:r w:rsidRPr="0610215B" w:rsidR="077B1C1C">
        <w:rPr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 xml:space="preserve"> tj. za</w:t>
      </w:r>
      <w:r w:rsidRPr="0610215B" w:rsidR="00A4671C">
        <w:rPr>
          <w:i w:val="1"/>
          <w:iCs w:val="1"/>
          <w:color w:val="000000" w:themeColor="text1" w:themeTint="FF" w:themeShade="FF"/>
          <w:sz w:val="22"/>
          <w:szCs w:val="22"/>
        </w:rPr>
        <w:t xml:space="preserve">pojením těch nejmodernějších nástrojů, které mohou mít realitní konzultanti k dispozici,“ </w:t>
      </w:r>
      <w:r w:rsidRPr="0610215B" w:rsidR="00A4671C">
        <w:rPr>
          <w:color w:val="000000" w:themeColor="text1" w:themeTint="FF" w:themeShade="FF"/>
          <w:sz w:val="22"/>
          <w:szCs w:val="22"/>
        </w:rPr>
        <w:t xml:space="preserve">říká </w:t>
      </w:r>
      <w:proofErr w:type="spellStart"/>
      <w:r w:rsidRPr="0610215B" w:rsidR="00A4671C">
        <w:rPr>
          <w:color w:val="000000" w:themeColor="text1" w:themeTint="FF" w:themeShade="FF"/>
          <w:sz w:val="22"/>
          <w:szCs w:val="22"/>
        </w:rPr>
        <w:t>Firaz</w:t>
      </w:r>
      <w:proofErr w:type="spellEnd"/>
      <w:r w:rsidRPr="0610215B" w:rsidR="00A4671C">
        <w:rPr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0610215B" w:rsidR="00A4671C">
        <w:rPr>
          <w:color w:val="000000" w:themeColor="text1" w:themeTint="FF" w:themeShade="FF"/>
          <w:sz w:val="22"/>
          <w:szCs w:val="22"/>
        </w:rPr>
        <w:t>Muinov</w:t>
      </w:r>
      <w:proofErr w:type="spellEnd"/>
      <w:r w:rsidRPr="0610215B" w:rsidR="00A4671C">
        <w:rPr>
          <w:color w:val="000000" w:themeColor="text1" w:themeTint="FF" w:themeShade="FF"/>
          <w:sz w:val="22"/>
          <w:szCs w:val="22"/>
        </w:rPr>
        <w:t xml:space="preserve">, výkonný ředitel </w:t>
      </w:r>
      <w:hyperlink>
        <w:r w:rsidRPr="0610215B" w:rsidR="00A4671C">
          <w:rPr>
            <w:color w:val="0000FF"/>
            <w:sz w:val="22"/>
            <w:szCs w:val="22"/>
            <w:u w:val="single"/>
          </w:rPr>
          <w:t>Lekvi Group</w:t>
        </w:r>
      </w:hyperlink>
      <w:r w:rsidRPr="0610215B" w:rsidR="00A4671C">
        <w:rPr>
          <w:color w:val="0000FF"/>
          <w:sz w:val="22"/>
          <w:szCs w:val="22"/>
          <w:u w:val="single"/>
        </w:rPr>
        <w:t>.</w:t>
      </w:r>
    </w:p>
    <w:p xmlns:wp14="http://schemas.microsoft.com/office/word/2010/wordml" w:rsidR="006632D3" w:rsidRDefault="006632D3" w14:paraId="5A39BBE3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xmlns:wp14="http://schemas.microsoft.com/office/word/2010/wordml" w:rsidR="006632D3" w:rsidRDefault="00A4671C" w14:paraId="262E1B39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Zahraniční investoři a koronakriz</w:t>
      </w:r>
      <w:r>
        <w:rPr>
          <w:b/>
          <w:sz w:val="22"/>
          <w:szCs w:val="22"/>
        </w:rPr>
        <w:t>e</w:t>
      </w:r>
    </w:p>
    <w:p xmlns:wp14="http://schemas.microsoft.com/office/word/2010/wordml" w:rsidR="006632D3" w:rsidRDefault="00A4671C" w14:paraId="5DAC273B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Další proměnnou, která ovlivní český trh s novými byty, bude přístup zahraničních zájemců či investorů. Jak známo, v každé zemi probíhá pandemie trochu odlišným způsobem a dopady na ekonomik</w:t>
      </w:r>
      <w:r>
        <w:rPr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jednotlivých zemí budou rozdílné. To může dále radikálně proměni</w:t>
      </w:r>
      <w:r>
        <w:rPr>
          <w:color w:val="000000"/>
          <w:sz w:val="22"/>
          <w:szCs w:val="22"/>
        </w:rPr>
        <w:t xml:space="preserve">t strukturu poptávky ze zahraničí po českých nemovitostech. </w:t>
      </w:r>
      <w:r>
        <w:rPr>
          <w:i/>
          <w:color w:val="000000"/>
          <w:sz w:val="22"/>
          <w:szCs w:val="22"/>
        </w:rPr>
        <w:t>„Naší velkou příležitostí v této době je fakt, že máme dlouhodobé zkušenosti se zahraničními investory z mnoha zemí i kontinentů. I když v poslední době jejich podíl na českém trhu spíše klesal, s</w:t>
      </w:r>
      <w:r>
        <w:rPr>
          <w:i/>
          <w:color w:val="000000"/>
          <w:sz w:val="22"/>
          <w:szCs w:val="22"/>
        </w:rPr>
        <w:t xml:space="preserve">tále není a nebude zanedbatelný. Není například vyloučeno, že v některých zemích bude ekonomická situace po odeznění pandemie natolik špatná, že bohatí investoři opět zvolí Českou republiku jako prioritní místo pro nákup bytů, případně i pro dlouhodobý či </w:t>
      </w:r>
      <w:r>
        <w:rPr>
          <w:i/>
          <w:color w:val="000000"/>
          <w:sz w:val="22"/>
          <w:szCs w:val="22"/>
        </w:rPr>
        <w:t>trvalý pobyt. A mohou to být i lidé ze západní Evropy, například z Velké Británie, kde navíc stále velkou neznámou zůstávají reálné dopady brexitu,“</w:t>
      </w:r>
      <w:r>
        <w:rPr>
          <w:color w:val="000000"/>
          <w:sz w:val="22"/>
          <w:szCs w:val="22"/>
        </w:rPr>
        <w:t xml:space="preserve"> dodává Firaz Muinov.</w:t>
      </w:r>
    </w:p>
    <w:p xmlns:wp14="http://schemas.microsoft.com/office/word/2010/wordml" w:rsidR="006632D3" w:rsidRDefault="00A4671C" w14:paraId="29D6B04F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xmlns:wp14="http://schemas.microsoft.com/office/word/2010/wordml" w:rsidR="006632D3" w:rsidRDefault="00A4671C" w14:paraId="64324C72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Realitní analýzy Flat Zone</w:t>
      </w:r>
    </w:p>
    <w:p xmlns:wp14="http://schemas.microsoft.com/office/word/2010/wordml" w:rsidR="006632D3" w:rsidP="0610215B" w:rsidRDefault="00A4671C" w14:paraId="0B1CD02D" wp14:textId="77777777">
      <w:pPr>
        <w:jc w:val="both"/>
        <w:rPr>
          <w:i w:val="1"/>
          <w:iCs w:val="1"/>
          <w:color w:val="2E3138"/>
          <w:sz w:val="22"/>
          <w:szCs w:val="22"/>
          <w:highlight w:val="white"/>
        </w:rPr>
      </w:pPr>
      <w:proofErr w:type="spellStart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>Flat</w:t>
      </w:r>
      <w:proofErr w:type="spellEnd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 xml:space="preserve"> </w:t>
      </w:r>
      <w:proofErr w:type="spellStart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>Zone</w:t>
      </w:r>
      <w:proofErr w:type="spellEnd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 xml:space="preserve"> se zaměřuje na sběr dat o českém rezidenčním tr</w:t>
      </w:r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 xml:space="preserve">hu a následnou tvorbu analytických produktů a služeb. Developerským společnostem umožňuje rychlé vyhodnocování akvizičních příležitostí, vytváření ceníků a monitoring konkurence. Díky </w:t>
      </w:r>
      <w:proofErr w:type="spellStart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>Flat</w:t>
      </w:r>
      <w:proofErr w:type="spellEnd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 xml:space="preserve"> </w:t>
      </w:r>
      <w:proofErr w:type="spellStart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>Zone</w:t>
      </w:r>
      <w:proofErr w:type="spellEnd"/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 xml:space="preserve"> mohou firmy šetřit čas strávený na sběru a zpracovávání dat a </w:t>
      </w:r>
      <w:r w:rsidRPr="0610215B" w:rsidR="00A4671C">
        <w:rPr>
          <w:i w:val="1"/>
          <w:iCs w:val="1"/>
          <w:color w:val="2E3138"/>
          <w:sz w:val="22"/>
          <w:szCs w:val="22"/>
          <w:highlight w:val="white"/>
        </w:rPr>
        <w:t>mohou jednoduše vytvářet konkurenceschopné nabídky.</w:t>
      </w:r>
    </w:p>
    <w:p xmlns:wp14="http://schemas.microsoft.com/office/word/2010/wordml" w:rsidR="006632D3" w:rsidP="0610215B" w:rsidRDefault="006632D3" w14:paraId="72A3D3EC" wp14:textId="4A3A1E07">
      <w:pPr>
        <w:pStyle w:val="Normln"/>
        <w:jc w:val="both"/>
        <w:rPr>
          <w:i w:val="1"/>
          <w:iCs w:val="1"/>
          <w:color w:val="2E3138"/>
          <w:sz w:val="22"/>
          <w:szCs w:val="22"/>
          <w:highlight w:val="white"/>
        </w:rPr>
      </w:pPr>
    </w:p>
    <w:p xmlns:wp14="http://schemas.microsoft.com/office/word/2010/wordml" w:rsidR="006632D3" w:rsidRDefault="00A4671C" w14:paraId="076EBDCB" wp14:textId="777777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Softwarový nástroj Realpad</w:t>
      </w:r>
    </w:p>
    <w:p xmlns:wp14="http://schemas.microsoft.com/office/word/2010/wordml" w:rsidR="006632D3" w:rsidP="0610215B" w:rsidRDefault="00A4671C" w14:paraId="70105C95" wp14:textId="77777777">
      <w:pPr>
        <w:jc w:val="both"/>
        <w:rPr>
          <w:i w:val="1"/>
          <w:iCs w:val="1"/>
          <w:color w:val="516B81"/>
          <w:sz w:val="22"/>
          <w:szCs w:val="22"/>
        </w:rPr>
      </w:pPr>
      <w:r w:rsidRPr="0610215B" w:rsidR="00A4671C">
        <w:rPr>
          <w:i w:val="1"/>
          <w:iCs w:val="1"/>
          <w:sz w:val="22"/>
          <w:szCs w:val="22"/>
        </w:rPr>
        <w:t xml:space="preserve">Základem technologie </w:t>
      </w:r>
      <w:proofErr w:type="spellStart"/>
      <w:r w:rsidRPr="0610215B" w:rsidR="00A4671C">
        <w:rPr>
          <w:i w:val="1"/>
          <w:iCs w:val="1"/>
          <w:sz w:val="22"/>
          <w:szCs w:val="22"/>
        </w:rPr>
        <w:t>Realpad</w:t>
      </w:r>
      <w:proofErr w:type="spellEnd"/>
      <w:r w:rsidRPr="0610215B" w:rsidR="00A4671C">
        <w:rPr>
          <w:i w:val="1"/>
          <w:iCs w:val="1"/>
          <w:sz w:val="22"/>
          <w:szCs w:val="22"/>
        </w:rPr>
        <w:t xml:space="preserve"> je automatizovaná správa prodeje nemovitostí, která výrazně šetří čas prodejního týmu a umožňuje jim věnovat více času zákazníkům. Současně působivě ukazuje daný projekt také ve formě tabletové prezentace. Mezi charakteristiky </w:t>
      </w:r>
      <w:r w:rsidRPr="0610215B" w:rsidR="00A4671C">
        <w:rPr>
          <w:i w:val="1"/>
          <w:iCs w:val="1"/>
          <w:sz w:val="22"/>
          <w:szCs w:val="22"/>
        </w:rPr>
        <w:t>systému patří také rychlá implementace, flexibilita i bezpečná ochrana citlivých dat.</w:t>
      </w:r>
    </w:p>
    <w:p xmlns:wp14="http://schemas.microsoft.com/office/word/2010/wordml" w:rsidR="006632D3" w:rsidRDefault="006632D3" w14:paraId="0D0B940D" wp14:textId="77777777">
      <w:pPr>
        <w:jc w:val="both"/>
        <w:rPr>
          <w:b/>
          <w:sz w:val="22"/>
          <w:szCs w:val="22"/>
        </w:rPr>
      </w:pPr>
    </w:p>
    <w:p xmlns:wp14="http://schemas.microsoft.com/office/word/2010/wordml" w:rsidR="006632D3" w:rsidRDefault="006632D3" w14:paraId="0E27B00A" wp14:textId="77777777">
      <w:pPr>
        <w:jc w:val="both"/>
        <w:rPr>
          <w:b/>
          <w:sz w:val="22"/>
          <w:szCs w:val="22"/>
        </w:rPr>
      </w:pPr>
    </w:p>
    <w:p xmlns:wp14="http://schemas.microsoft.com/office/word/2010/wordml" w:rsidR="006632D3" w:rsidRDefault="00A4671C" w14:paraId="21734062" wp14:textId="77777777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O skupině Lekvi Group:</w:t>
      </w:r>
    </w:p>
    <w:p xmlns:wp14="http://schemas.microsoft.com/office/word/2010/wordml" w:rsidR="006632D3" w:rsidRDefault="00A4671C" w14:paraId="6A3A536B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hyperlink r:id="rId8">
        <w:r>
          <w:rPr>
            <w:i/>
            <w:color w:val="0000FF"/>
            <w:sz w:val="20"/>
            <w:szCs w:val="20"/>
            <w:u w:val="single"/>
          </w:rPr>
          <w:t>Lekvi Group</w:t>
        </w:r>
      </w:hyperlink>
      <w:r>
        <w:rPr>
          <w:i/>
          <w:color w:val="000000"/>
          <w:sz w:val="20"/>
          <w:szCs w:val="20"/>
        </w:rPr>
        <w:t xml:space="preserve"> byla založena v roce 2007 a následně se rozrostla v renomovanou realitní, developerskou a investiční s</w:t>
      </w:r>
      <w:r>
        <w:rPr>
          <w:i/>
          <w:color w:val="000000"/>
          <w:sz w:val="20"/>
          <w:szCs w:val="20"/>
        </w:rPr>
        <w:t xml:space="preserve">kupinu s velmi silnou pozicí na českém trhu rezidenčních i komerčních nemovitostí. </w:t>
      </w:r>
    </w:p>
    <w:p xmlns:wp14="http://schemas.microsoft.com/office/word/2010/wordml" w:rsidR="006632D3" w:rsidRDefault="00A4671C" w14:paraId="08C7C3EA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Předností Lekvi Group je hluboká znalost českého prostředí, poměrů na finančním trhu a mentality investorů z širokého spektra zemí. Pro své klienty z řad jednotlivců i deve</w:t>
      </w:r>
      <w:r>
        <w:rPr>
          <w:i/>
          <w:color w:val="000000"/>
          <w:sz w:val="20"/>
          <w:szCs w:val="20"/>
        </w:rPr>
        <w:t>loperů je schopna zajistit komplexní realitní služby – od prodeje a pronájmu nových i secondhandových nemovitostí až po jejich profesionální správu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>.</w:t>
      </w:r>
      <w:r>
        <w:rPr>
          <w:i/>
          <w:color w:val="000000"/>
          <w:sz w:val="20"/>
          <w:szCs w:val="20"/>
        </w:rPr>
        <w:t xml:space="preserve"> Nabízí také celkový poradenský, finanční a právní servis, který je spjatý s koupí a následným pronájmem nemovitostí, nebo daňové poradenství. </w:t>
      </w:r>
    </w:p>
    <w:p xmlns:wp14="http://schemas.microsoft.com/office/word/2010/wordml" w:rsidR="006632D3" w:rsidRDefault="00A4671C" w14:paraId="6A698AB2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Skupina spolupracuje s řadou významných společností z širokého spektra oborů, mezi které patří např. Daramis, Ce</w:t>
      </w:r>
      <w:r>
        <w:rPr>
          <w:i/>
          <w:color w:val="000000"/>
          <w:sz w:val="20"/>
          <w:szCs w:val="20"/>
        </w:rPr>
        <w:t>ntral Group, BM Develop, Acord Invest, Sekyra Group, Edifice, Pražská správa nemovitostí, Česká spořitelna, Unicredit Bank nebo S</w:t>
      </w:r>
      <w:r>
        <w:rPr>
          <w:i/>
          <w:sz w:val="20"/>
          <w:szCs w:val="20"/>
        </w:rPr>
        <w:t>b</w:t>
      </w:r>
      <w:r>
        <w:rPr>
          <w:i/>
          <w:color w:val="000000"/>
          <w:sz w:val="20"/>
          <w:szCs w:val="20"/>
        </w:rPr>
        <w:t xml:space="preserve">erbank CZ.  </w:t>
      </w:r>
    </w:p>
    <w:p xmlns:wp14="http://schemas.microsoft.com/office/word/2010/wordml" w:rsidR="006632D3" w:rsidRDefault="00A4671C" w14:paraId="36EA7C12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 pevné pozici Lekvi Group na českém trhu vypovídají její hospodářské výsledky. Zatímco v roce 2010 prodala bytov</w:t>
      </w:r>
      <w:r>
        <w:rPr>
          <w:i/>
          <w:color w:val="000000"/>
          <w:sz w:val="20"/>
          <w:szCs w:val="20"/>
        </w:rPr>
        <w:t xml:space="preserve">é jednotky za 65 mil. Kč, v roce 2018 již tento prodej přesáhl 800 mil. Kč. Díky svému know-how, bohaté síti kontaktů a aktivnímu marketingu prodala za 12 let působení v realitním segmentu více než 1 000 bytových jednotek. </w:t>
      </w:r>
    </w:p>
    <w:p xmlns:wp14="http://schemas.microsoft.com/office/word/2010/wordml" w:rsidR="006632D3" w:rsidRDefault="006632D3" w14:paraId="60061E4C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0"/>
          <w:szCs w:val="20"/>
          <w:u w:val="single"/>
        </w:rPr>
      </w:pPr>
    </w:p>
    <w:p xmlns:wp14="http://schemas.microsoft.com/office/word/2010/wordml" w:rsidR="006632D3" w:rsidRDefault="006632D3" w14:paraId="44EAFD9C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0"/>
          <w:szCs w:val="20"/>
          <w:u w:val="single"/>
        </w:rPr>
      </w:pPr>
    </w:p>
    <w:p xmlns:wp14="http://schemas.microsoft.com/office/word/2010/wordml" w:rsidR="006632D3" w:rsidRDefault="00A4671C" w14:paraId="4DD9167A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120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Další informace:</w:t>
      </w:r>
    </w:p>
    <w:p xmlns:wp14="http://schemas.microsoft.com/office/word/2010/wordml" w:rsidR="006632D3" w:rsidRDefault="00A4671C" w14:paraId="1192FE89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Crest Communications:</w:t>
      </w:r>
    </w:p>
    <w:p xmlns:wp14="http://schemas.microsoft.com/office/word/2010/wordml" w:rsidR="006632D3" w:rsidRDefault="00A4671C" w14:paraId="3B7735E0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Marie Cimplová, tel.: +420 731 613 602, </w:t>
      </w:r>
      <w:hyperlink r:id="rId9">
        <w:r>
          <w:rPr>
            <w:color w:val="0000FF"/>
            <w:sz w:val="20"/>
            <w:szCs w:val="20"/>
            <w:u w:val="single"/>
          </w:rPr>
          <w:t>marie.cimplova@crestcom.cz</w:t>
        </w:r>
      </w:hyperlink>
    </w:p>
    <w:p xmlns:wp14="http://schemas.microsoft.com/office/word/2010/wordml" w:rsidR="006632D3" w:rsidRDefault="00A4671C" w14:paraId="54FFD8E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www.crestcom.cz</w:t>
      </w:r>
    </w:p>
    <w:p xmlns:wp14="http://schemas.microsoft.com/office/word/2010/wordml" w:rsidR="006632D3" w:rsidRDefault="006632D3" w14:paraId="4B94D5A5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b/>
          <w:sz w:val="20"/>
          <w:szCs w:val="20"/>
        </w:rPr>
      </w:pPr>
    </w:p>
    <w:p xmlns:wp14="http://schemas.microsoft.com/office/word/2010/wordml" w:rsidR="006632D3" w:rsidRDefault="00A4671C" w14:paraId="2083C453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Lekvi Group:</w:t>
      </w:r>
    </w:p>
    <w:p xmlns:wp14="http://schemas.microsoft.com/office/word/2010/wordml" w:rsidR="006632D3" w:rsidRDefault="00A4671C" w14:paraId="0F4378FE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Firaz Muinov, tel.:+420 776 717 770, </w:t>
      </w:r>
      <w:hyperlink r:id="rId10">
        <w:r>
          <w:rPr>
            <w:color w:val="0000FF"/>
            <w:sz w:val="20"/>
            <w:szCs w:val="20"/>
            <w:u w:val="single"/>
          </w:rPr>
          <w:t>muinov@lekvi.cz</w:t>
        </w:r>
      </w:hyperlink>
      <w:r>
        <w:rPr>
          <w:sz w:val="20"/>
          <w:szCs w:val="20"/>
        </w:rPr>
        <w:t xml:space="preserve"> </w:t>
      </w:r>
    </w:p>
    <w:p xmlns:wp14="http://schemas.microsoft.com/office/word/2010/wordml" w:rsidR="006632D3" w:rsidRDefault="00A4671C" w14:paraId="2FDE3C9F" wp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both"/>
        <w:rPr>
          <w:sz w:val="20"/>
          <w:szCs w:val="20"/>
        </w:rPr>
      </w:pPr>
      <w:hyperlink r:id="rId11">
        <w:r>
          <w:rPr>
            <w:color w:val="0000FF"/>
            <w:sz w:val="20"/>
            <w:szCs w:val="20"/>
            <w:u w:val="single"/>
          </w:rPr>
          <w:t>www.lekvi.cz</w:t>
        </w:r>
      </w:hyperlink>
      <w:r>
        <w:rPr>
          <w:sz w:val="20"/>
          <w:szCs w:val="20"/>
        </w:rPr>
        <w:t xml:space="preserve"> </w:t>
      </w:r>
    </w:p>
    <w:sectPr w:rsidR="006632D3">
      <w:pgSz w:w="11906" w:h="16838" w:orient="portrait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D3"/>
    <w:rsid w:val="006632D3"/>
    <w:rsid w:val="00A4671C"/>
    <w:rsid w:val="0610215B"/>
    <w:rsid w:val="077B1C1C"/>
    <w:rsid w:val="25A4CD0A"/>
    <w:rsid w:val="3C3ECF25"/>
    <w:rsid w:val="45210CB4"/>
    <w:rsid w:val="5A0F7B6A"/>
    <w:rsid w:val="6CBD07B4"/>
    <w:rsid w:val="6D33E5CE"/>
    <w:rsid w:val="7F9F8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A4DA56-3887-48FE-BCF5-ECC03A42B835}"/>
  <w14:docId w14:val="60F3B8A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aliases w:val="Varsayılan Paragraf Yazı Tipi,Police par défaut,Absatz-Standardschriftart,Domyślna czcionka akapitu"/>
    <w:uiPriority w:val="1"/>
    <w:semiHidden/>
    <w:unhideWhenUsed/>
  </w:style>
  <w:style w:type="table" w:styleId="Normlntabulka" w:default="1">
    <w:name w:val="Normal Table"/>
    <w:aliases w:val="Normal Tablo,Tableau Normal,Normale Tabelle,Standardowy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aliases w:val="Liste Yok,Aucune liste,Keine Liste,Bez listy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about:blank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about:blank" TargetMode="External" Id="rId6" /><Relationship Type="http://schemas.openxmlformats.org/officeDocument/2006/relationships/hyperlink" Target="about:blank" TargetMode="External" Id="rId11" /><Relationship Type="http://schemas.openxmlformats.org/officeDocument/2006/relationships/hyperlink" Target="about:blank" TargetMode="External" Id="rId5" /><Relationship Type="http://schemas.openxmlformats.org/officeDocument/2006/relationships/hyperlink" Target="about:blank" TargetMode="External" Id="rId10" /><Relationship Type="http://schemas.openxmlformats.org/officeDocument/2006/relationships/image" Target="media/image1.png" Id="rId4" /><Relationship Type="http://schemas.openxmlformats.org/officeDocument/2006/relationships/hyperlink" Target="about:blan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Dokumenty Crestcom</lastModifiedBy>
  <revision>3</revision>
  <dcterms:created xsi:type="dcterms:W3CDTF">2020-04-28T12:29:00.0000000Z</dcterms:created>
  <dcterms:modified xsi:type="dcterms:W3CDTF">2020-04-29T08:53:24.5784020Z</dcterms:modified>
</coreProperties>
</file>